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D6ECE7">
      <w:pPr>
        <w:spacing w:before="480" w:after="480" w:line="288" w:lineRule="auto"/>
        <w:ind w:left="0"/>
        <w:rPr>
          <w:rFonts w:hint="eastAsia" w:ascii="Arial" w:hAnsi="Arial" w:eastAsia="等线" w:cs="Arial"/>
          <w:b/>
          <w:sz w:val="36"/>
          <w:lang w:val="en-US" w:eastAsia="zh-CN"/>
        </w:rPr>
      </w:pPr>
      <w:r>
        <w:rPr>
          <w:rFonts w:hint="eastAsia" w:ascii="Arial" w:hAnsi="Arial" w:eastAsia="等线" w:cs="Arial"/>
          <w:b/>
          <w:sz w:val="36"/>
          <w:lang w:val="en-US" w:eastAsia="zh-CN"/>
        </w:rPr>
        <w:t>附件1</w:t>
      </w:r>
    </w:p>
    <w:p w14:paraId="65701A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80" w:after="140" w:line="360" w:lineRule="auto"/>
        <w:ind w:left="0"/>
        <w:jc w:val="center"/>
        <w:textAlignment w:val="auto"/>
        <w:outlineLvl w:val="0"/>
      </w:pPr>
      <w:r>
        <w:rPr>
          <w:rFonts w:hint="eastAsia" w:ascii="Arial" w:hAnsi="Arial" w:eastAsia="等线" w:cs="Arial"/>
          <w:b/>
          <w:sz w:val="36"/>
        </w:rPr>
        <w:t>评分标准表</w:t>
      </w:r>
    </w:p>
    <w:p w14:paraId="542B82C1">
      <w:pPr>
        <w:spacing w:before="320" w:after="120" w:line="288" w:lineRule="auto"/>
        <w:ind w:left="0"/>
        <w:jc w:val="left"/>
        <w:outlineLvl w:val="1"/>
      </w:pPr>
      <w:bookmarkStart w:id="0" w:name="heading_0"/>
      <w:r>
        <w:rPr>
          <w:rFonts w:ascii="Arial" w:hAnsi="Arial" w:eastAsia="等线" w:cs="Arial"/>
          <w:b/>
          <w:sz w:val="32"/>
        </w:rPr>
        <w:t>一、总体说明</w:t>
      </w:r>
      <w:bookmarkEnd w:id="0"/>
    </w:p>
    <w:p w14:paraId="43BCF3D4">
      <w:pPr>
        <w:spacing w:before="120" w:after="120" w:line="288" w:lineRule="auto"/>
        <w:ind w:left="0" w:firstLine="440" w:firstLineChars="200"/>
        <w:jc w:val="left"/>
        <w:rPr>
          <w:rFonts w:ascii="Arial" w:hAnsi="Arial" w:eastAsia="等线" w:cs="Arial"/>
          <w:sz w:val="22"/>
        </w:rPr>
      </w:pPr>
      <w:r>
        <w:rPr>
          <w:rFonts w:hint="eastAsia" w:ascii="Arial" w:hAnsi="Arial" w:eastAsia="等线" w:cs="Arial"/>
          <w:sz w:val="22"/>
          <w:lang w:val="en-US" w:eastAsia="zh-CN"/>
        </w:rPr>
        <w:t xml:space="preserve">1. </w:t>
      </w:r>
      <w:r>
        <w:rPr>
          <w:rFonts w:ascii="Arial" w:hAnsi="Arial" w:eastAsia="等线" w:cs="Arial"/>
          <w:sz w:val="22"/>
        </w:rPr>
        <w:t>本次评审为</w:t>
      </w:r>
      <w:r>
        <w:rPr>
          <w:rFonts w:ascii="Arial" w:hAnsi="Arial" w:eastAsia="等线" w:cs="Arial"/>
          <w:b/>
          <w:sz w:val="22"/>
        </w:rPr>
        <w:t>中介机构</w:t>
      </w:r>
      <w:r>
        <w:rPr>
          <w:rFonts w:hint="eastAsia" w:ascii="Arial" w:hAnsi="Arial" w:eastAsia="等线" w:cs="Arial"/>
          <w:b/>
          <w:sz w:val="22"/>
          <w:lang w:val="en-US" w:eastAsia="zh-CN"/>
        </w:rPr>
        <w:t>候选名单评审</w:t>
      </w:r>
      <w:r>
        <w:rPr>
          <w:rFonts w:ascii="Arial" w:hAnsi="Arial" w:eastAsia="等线" w:cs="Arial"/>
          <w:b/>
          <w:sz w:val="22"/>
        </w:rPr>
        <w:t>，不对应具体服务项目</w:t>
      </w:r>
      <w:r>
        <w:rPr>
          <w:rFonts w:ascii="Arial" w:hAnsi="Arial" w:eastAsia="等线" w:cs="Arial"/>
          <w:sz w:val="22"/>
        </w:rPr>
        <w:t>，主要考核机构综合实力、服务能力、内控管理及服务保障水平。</w:t>
      </w:r>
    </w:p>
    <w:p w14:paraId="42A4CF3B">
      <w:pPr>
        <w:spacing w:before="120" w:after="120" w:line="288" w:lineRule="auto"/>
        <w:ind w:left="0" w:firstLine="440" w:firstLineChars="200"/>
        <w:jc w:val="left"/>
        <w:rPr>
          <w:rFonts w:ascii="Arial" w:hAnsi="Arial" w:eastAsia="等线" w:cs="Arial"/>
          <w:sz w:val="22"/>
        </w:rPr>
      </w:pPr>
      <w:r>
        <w:rPr>
          <w:rFonts w:hint="eastAsia" w:ascii="Arial" w:hAnsi="Arial" w:eastAsia="等线" w:cs="Arial"/>
          <w:sz w:val="22"/>
          <w:lang w:val="en-US" w:eastAsia="zh-CN"/>
        </w:rPr>
        <w:t xml:space="preserve">2. </w:t>
      </w:r>
      <w:r>
        <w:rPr>
          <w:rFonts w:ascii="Arial" w:hAnsi="Arial" w:eastAsia="等线" w:cs="Arial"/>
          <w:sz w:val="22"/>
        </w:rPr>
        <w:t>本次评审采用综合评分法，总分 100 分。其中：</w:t>
      </w:r>
      <w:r>
        <w:rPr>
          <w:rFonts w:ascii="Arial" w:hAnsi="Arial" w:eastAsia="等线" w:cs="Arial"/>
          <w:b/>
          <w:sz w:val="22"/>
        </w:rPr>
        <w:t xml:space="preserve">技术部分 </w:t>
      </w:r>
      <w:r>
        <w:rPr>
          <w:rFonts w:hint="eastAsia" w:ascii="Arial" w:hAnsi="Arial" w:eastAsia="等线" w:cs="Arial"/>
          <w:b/>
          <w:sz w:val="22"/>
          <w:lang w:val="en-US" w:eastAsia="zh-CN"/>
        </w:rPr>
        <w:t>85</w:t>
      </w:r>
      <w:r>
        <w:rPr>
          <w:rFonts w:ascii="Arial" w:hAnsi="Arial" w:eastAsia="等线" w:cs="Arial"/>
          <w:b/>
          <w:sz w:val="22"/>
        </w:rPr>
        <w:t xml:space="preserve"> 分（占比 </w:t>
      </w:r>
      <w:r>
        <w:rPr>
          <w:rFonts w:hint="eastAsia" w:ascii="Arial" w:hAnsi="Arial" w:eastAsia="等线" w:cs="Arial"/>
          <w:b/>
          <w:sz w:val="22"/>
          <w:lang w:val="en-US" w:eastAsia="zh-CN"/>
        </w:rPr>
        <w:t>85</w:t>
      </w:r>
      <w:r>
        <w:rPr>
          <w:rFonts w:ascii="Arial" w:hAnsi="Arial" w:eastAsia="等线" w:cs="Arial"/>
          <w:b/>
          <w:sz w:val="22"/>
        </w:rPr>
        <w:t xml:space="preserve">%），商务部分 </w:t>
      </w:r>
      <w:r>
        <w:rPr>
          <w:rFonts w:hint="eastAsia" w:ascii="Arial" w:hAnsi="Arial" w:eastAsia="等线" w:cs="Arial"/>
          <w:b/>
          <w:sz w:val="22"/>
          <w:lang w:val="en-US" w:eastAsia="zh-CN"/>
        </w:rPr>
        <w:t>15</w:t>
      </w:r>
      <w:r>
        <w:rPr>
          <w:rFonts w:ascii="Arial" w:hAnsi="Arial" w:eastAsia="等线" w:cs="Arial"/>
          <w:b/>
          <w:sz w:val="22"/>
        </w:rPr>
        <w:t xml:space="preserve"> 分（占比 </w:t>
      </w:r>
      <w:r>
        <w:rPr>
          <w:rFonts w:hint="eastAsia" w:ascii="Arial" w:hAnsi="Arial" w:eastAsia="等线" w:cs="Arial"/>
          <w:b/>
          <w:sz w:val="22"/>
          <w:lang w:val="en-US" w:eastAsia="zh-CN"/>
        </w:rPr>
        <w:t>15</w:t>
      </w:r>
      <w:r>
        <w:rPr>
          <w:rFonts w:ascii="Arial" w:hAnsi="Arial" w:eastAsia="等线" w:cs="Arial"/>
          <w:b/>
          <w:sz w:val="22"/>
        </w:rPr>
        <w:t>%）</w:t>
      </w:r>
      <w:r>
        <w:rPr>
          <w:rFonts w:ascii="Arial" w:hAnsi="Arial" w:eastAsia="等线" w:cs="Arial"/>
          <w:sz w:val="22"/>
        </w:rPr>
        <w:t>。</w:t>
      </w:r>
    </w:p>
    <w:p w14:paraId="5F6D83F8">
      <w:pPr>
        <w:spacing w:before="120" w:after="120" w:line="288" w:lineRule="auto"/>
        <w:ind w:left="0" w:firstLine="440" w:firstLineChars="200"/>
        <w:jc w:val="left"/>
        <w:rPr>
          <w:rFonts w:ascii="Arial" w:hAnsi="Arial" w:eastAsia="等线" w:cs="Arial"/>
          <w:sz w:val="22"/>
        </w:rPr>
      </w:pPr>
      <w:r>
        <w:rPr>
          <w:rFonts w:hint="eastAsia" w:ascii="Arial" w:hAnsi="Arial" w:eastAsia="等线" w:cs="Arial"/>
          <w:sz w:val="22"/>
          <w:lang w:val="en-US" w:eastAsia="zh-CN"/>
        </w:rPr>
        <w:t xml:space="preserve">3. </w:t>
      </w:r>
      <w:r>
        <w:rPr>
          <w:rFonts w:ascii="Arial" w:hAnsi="Arial" w:eastAsia="等线" w:cs="Arial"/>
          <w:sz w:val="22"/>
        </w:rPr>
        <w:t>所有评分均以申报机构提交的有效书面佐证材料为准，无材料、材料不全或无法印证的不予计分。</w:t>
      </w:r>
    </w:p>
    <w:p w14:paraId="0D593434">
      <w:pPr>
        <w:spacing w:before="120" w:after="120" w:line="288" w:lineRule="auto"/>
        <w:ind w:left="0" w:firstLine="440" w:firstLineChars="200"/>
        <w:jc w:val="left"/>
        <w:rPr>
          <w:rFonts w:hint="default" w:ascii="Arial" w:hAnsi="Arial" w:eastAsia="等线" w:cs="Arial"/>
          <w:sz w:val="22"/>
          <w:lang w:val="en-US" w:eastAsia="zh-CN"/>
        </w:rPr>
      </w:pPr>
      <w:r>
        <w:rPr>
          <w:rFonts w:hint="eastAsia" w:ascii="Arial" w:hAnsi="Arial" w:eastAsia="等线" w:cs="Arial"/>
          <w:sz w:val="22"/>
          <w:lang w:val="en-US" w:eastAsia="zh-CN"/>
        </w:rPr>
        <w:t>4. 所有申报资料必须真实、完整、有效，存在弄虚作假行为的，直接取消申报资格。</w:t>
      </w:r>
    </w:p>
    <w:p w14:paraId="7C3529D1">
      <w:pPr>
        <w:numPr>
          <w:ilvl w:val="0"/>
          <w:numId w:val="1"/>
        </w:numPr>
        <w:spacing w:before="320" w:after="120" w:line="288" w:lineRule="auto"/>
        <w:ind w:left="0"/>
        <w:jc w:val="left"/>
        <w:outlineLvl w:val="1"/>
        <w:rPr>
          <w:rFonts w:ascii="Arial" w:hAnsi="Arial" w:eastAsia="等线" w:cs="Arial"/>
          <w:b/>
          <w:sz w:val="32"/>
        </w:rPr>
      </w:pPr>
      <w:bookmarkStart w:id="1" w:name="heading_1"/>
      <w:r>
        <w:rPr>
          <w:rFonts w:ascii="Arial" w:hAnsi="Arial" w:eastAsia="等线" w:cs="Arial"/>
          <w:b/>
          <w:sz w:val="32"/>
        </w:rPr>
        <w:t>具体评分标准表</w:t>
      </w:r>
      <w:bookmarkEnd w:id="1"/>
    </w:p>
    <w:tbl>
      <w:tblPr>
        <w:tblStyle w:val="2"/>
        <w:tblW w:w="5014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20"/>
        <w:gridCol w:w="1230"/>
        <w:gridCol w:w="1507"/>
        <w:gridCol w:w="1062"/>
        <w:gridCol w:w="3788"/>
        <w:gridCol w:w="5833"/>
      </w:tblGrid>
      <w:tr w14:paraId="1959C6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8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E07BB6C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23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7DE068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评审模块</w:t>
            </w:r>
          </w:p>
        </w:tc>
        <w:tc>
          <w:tcPr>
            <w:tcW w:w="1507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AC28B84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评分项目</w:t>
            </w:r>
          </w:p>
        </w:tc>
        <w:tc>
          <w:tcPr>
            <w:tcW w:w="106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DF039A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分值</w:t>
            </w:r>
          </w:p>
        </w:tc>
        <w:tc>
          <w:tcPr>
            <w:tcW w:w="378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AE8731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需提供资料</w:t>
            </w:r>
          </w:p>
        </w:tc>
        <w:tc>
          <w:tcPr>
            <w:tcW w:w="583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528290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评分标准</w:t>
            </w:r>
          </w:p>
        </w:tc>
      </w:tr>
      <w:tr w14:paraId="2B6AB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601DF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一</w:t>
            </w:r>
          </w:p>
        </w:tc>
        <w:tc>
          <w:tcPr>
            <w:tcW w:w="123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2C0AE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技术部分</w:t>
            </w:r>
          </w:p>
        </w:tc>
        <w:tc>
          <w:tcPr>
            <w:tcW w:w="1507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5EAB6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业务理解与服务适配</w:t>
            </w:r>
          </w:p>
        </w:tc>
        <w:tc>
          <w:tcPr>
            <w:tcW w:w="106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36DD9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16</w:t>
            </w:r>
          </w:p>
        </w:tc>
        <w:tc>
          <w:tcPr>
            <w:tcW w:w="378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01150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对我中心业务特点、管理模式、中介服务需求的理解说明材料；入选候选名单后通用服务思路、风险预判、工作重点的梳理材料</w:t>
            </w:r>
          </w:p>
        </w:tc>
        <w:tc>
          <w:tcPr>
            <w:tcW w:w="583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739130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13-16分：深刻理解我中心业务体系和管理要求，对服务范围、工作重点、潜在风险预判全面准确，服务思路针对性、适配性极强。</w:t>
            </w:r>
          </w:p>
          <w:p w14:paraId="7739A4A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9-12分：能够掌握我中心主要业务及服务需求，服务思路较为清晰，具备较好适配性。</w:t>
            </w:r>
          </w:p>
          <w:p w14:paraId="7315ED1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5-8分：对业务理解较为浅显，内容笼统，服务适配性一般。</w:t>
            </w:r>
          </w:p>
          <w:p w14:paraId="2FB18BF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0-4分：理解存在偏差、内容空洞或未提供相关材料。</w:t>
            </w:r>
          </w:p>
        </w:tc>
      </w:tr>
      <w:tr w14:paraId="3DD28D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60AA0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一</w:t>
            </w:r>
          </w:p>
        </w:tc>
        <w:tc>
          <w:tcPr>
            <w:tcW w:w="123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7EC43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技术部分</w:t>
            </w:r>
          </w:p>
        </w:tc>
        <w:tc>
          <w:tcPr>
            <w:tcW w:w="1507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D4DE0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通用技术服务能力</w:t>
            </w:r>
          </w:p>
        </w:tc>
        <w:tc>
          <w:tcPr>
            <w:tcW w:w="106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61220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16</w:t>
            </w:r>
          </w:p>
        </w:tc>
        <w:tc>
          <w:tcPr>
            <w:tcW w:w="378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E837B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中介机构整体服务体系介绍、通用业务服务流程、沟通对接机制、问题处置机制、常态化服务保障模式等通用性服务材料（无需针对具体项目）</w:t>
            </w:r>
          </w:p>
        </w:tc>
        <w:tc>
          <w:tcPr>
            <w:tcW w:w="583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B76D0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13-16分：服务体系成熟完善，标准化流程健全，对接、处置、反馈机制完整，能够适配各类候选名单业务开展，综合服务能力强。</w:t>
            </w:r>
          </w:p>
          <w:p w14:paraId="7FA6C44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9-12分：服务体系较完整，流程规范，具备基本的服务处置与对接机制。</w:t>
            </w:r>
          </w:p>
          <w:p w14:paraId="2EB6EDD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5-8分：服务流程简单、制度不够细化，通用性服务能力一般。</w:t>
            </w:r>
          </w:p>
          <w:p w14:paraId="6BC8351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0-4分：无实质服务内容、体系缺失或未提供材料。</w:t>
            </w:r>
          </w:p>
        </w:tc>
      </w:tr>
      <w:tr w14:paraId="43E7C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6E5A6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一</w:t>
            </w:r>
          </w:p>
        </w:tc>
        <w:tc>
          <w:tcPr>
            <w:tcW w:w="123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03A41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技术部分</w:t>
            </w:r>
          </w:p>
        </w:tc>
        <w:tc>
          <w:tcPr>
            <w:tcW w:w="1507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B4B3F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highlight w:val="none"/>
                <w:lang w:val="en-US" w:eastAsia="zh-CN" w:bidi="ar"/>
              </w:rPr>
              <w:t>专业团队配置情况</w:t>
            </w:r>
          </w:p>
        </w:tc>
        <w:tc>
          <w:tcPr>
            <w:tcW w:w="106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52267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15</w:t>
            </w:r>
          </w:p>
        </w:tc>
        <w:tc>
          <w:tcPr>
            <w:tcW w:w="378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93B4F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专属服务团队配置清单、核心人员简历、执业资格证书、项目负责人业绩等佐证材料</w:t>
            </w:r>
          </w:p>
        </w:tc>
        <w:tc>
          <w:tcPr>
            <w:tcW w:w="583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A3AF9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sz w:val="22"/>
                <w:szCs w:val="22"/>
                <w:lang w:val="en-US" w:eastAsia="zh-CN"/>
              </w:rPr>
              <w:t>分3项计分，</w:t>
            </w:r>
            <w:r>
              <w:rPr>
                <w:rFonts w:hint="default" w:ascii="Times New Roman" w:hAnsi="Times New Roman" w:eastAsia="等线" w:cs="Times New Roman"/>
                <w:sz w:val="22"/>
                <w:szCs w:val="22"/>
              </w:rPr>
              <w:t>各项得分累加得出本项总分。</w:t>
            </w:r>
          </w:p>
          <w:p w14:paraId="4157C25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sz w:val="22"/>
                <w:szCs w:val="22"/>
              </w:rPr>
              <w:t>1</w:t>
            </w:r>
            <w:r>
              <w:rPr>
                <w:rFonts w:hint="default" w:ascii="Times New Roman" w:hAnsi="Times New Roman" w:eastAsia="等线" w:cs="Times New Roman"/>
                <w:sz w:val="22"/>
                <w:szCs w:val="22"/>
                <w:lang w:eastAsia="zh-CN"/>
              </w:rPr>
              <w:t>.</w:t>
            </w:r>
            <w:r>
              <w:rPr>
                <w:rFonts w:hint="default" w:ascii="Times New Roman" w:hAnsi="Times New Roman" w:eastAsia="等线" w:cs="Times New Roman"/>
                <w:sz w:val="22"/>
                <w:szCs w:val="22"/>
              </w:rPr>
              <w:t>注册会计师、税务师持证人员配置（最高 6 分，按人数累计计分）：团队拥有注册会计师、税务师3人及以上得6分；拥有2人得4分；拥有1人得2分；无相关持证人员不得分。</w:t>
            </w:r>
          </w:p>
          <w:p w14:paraId="232BD44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sz w:val="22"/>
                <w:szCs w:val="22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等线" w:cs="Times New Roman"/>
                <w:sz w:val="22"/>
                <w:szCs w:val="22"/>
              </w:rPr>
              <w:t>项目负责人同类项目经验（最高5分，按项目个数累计计分）：项目负责人近</w:t>
            </w:r>
            <w:r>
              <w:rPr>
                <w:rFonts w:hint="default" w:ascii="Times New Roman" w:hAnsi="Times New Roman" w:eastAsia="等线" w:cs="Times New Roman"/>
                <w:sz w:val="22"/>
                <w:szCs w:val="22"/>
                <w:lang w:val="en-US" w:eastAsia="zh-CN"/>
              </w:rPr>
              <w:t>3</w:t>
            </w:r>
            <w:r>
              <w:rPr>
                <w:rFonts w:hint="default" w:ascii="Times New Roman" w:hAnsi="Times New Roman" w:eastAsia="等线" w:cs="Times New Roman"/>
                <w:sz w:val="22"/>
                <w:szCs w:val="22"/>
              </w:rPr>
              <w:t>年主持同类服务项目5个及以上得5分</w:t>
            </w:r>
            <w:r>
              <w:rPr>
                <w:rFonts w:hint="default" w:ascii="Times New Roman" w:hAnsi="Times New Roman" w:eastAsia="等线" w:cs="Times New Roman"/>
                <w:sz w:val="22"/>
                <w:szCs w:val="22"/>
                <w:lang w:eastAsia="zh-CN"/>
              </w:rPr>
              <w:t>；</w:t>
            </w:r>
            <w:r>
              <w:rPr>
                <w:rFonts w:hint="default" w:ascii="Times New Roman" w:hAnsi="Times New Roman" w:eastAsia="等线" w:cs="Times New Roman"/>
                <w:sz w:val="22"/>
                <w:szCs w:val="22"/>
              </w:rPr>
              <w:t>主持3-4个得3分</w:t>
            </w:r>
            <w:r>
              <w:rPr>
                <w:rFonts w:hint="default" w:ascii="Times New Roman" w:hAnsi="Times New Roman" w:eastAsia="等线" w:cs="Times New Roman"/>
                <w:sz w:val="22"/>
                <w:szCs w:val="22"/>
                <w:lang w:eastAsia="zh-CN"/>
              </w:rPr>
              <w:t>；</w:t>
            </w:r>
            <w:r>
              <w:rPr>
                <w:rFonts w:hint="default" w:ascii="Times New Roman" w:hAnsi="Times New Roman" w:eastAsia="等线" w:cs="Times New Roman"/>
                <w:sz w:val="22"/>
                <w:szCs w:val="22"/>
              </w:rPr>
              <w:t xml:space="preserve">主持1-2个得1分；无同类项目经验不得分。 </w:t>
            </w:r>
          </w:p>
          <w:p w14:paraId="51C490D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sz w:val="22"/>
                <w:szCs w:val="22"/>
                <w:lang w:val="en-US" w:eastAsia="zh-CN"/>
              </w:rPr>
              <w:t>3.</w:t>
            </w:r>
            <w:r>
              <w:rPr>
                <w:rFonts w:hint="default" w:ascii="Times New Roman" w:hAnsi="Times New Roman" w:eastAsia="等线" w:cs="Times New Roman"/>
                <w:sz w:val="22"/>
                <w:szCs w:val="22"/>
              </w:rPr>
              <w:t>团队配置充足程度（最高4分，按完备程度分级计分）：团队岗位架构完整、人员</w:t>
            </w:r>
            <w:r>
              <w:rPr>
                <w:rFonts w:hint="eastAsia" w:ascii="Times New Roman" w:hAnsi="Times New Roman" w:eastAsia="等线" w:cs="Times New Roman"/>
                <w:sz w:val="22"/>
                <w:szCs w:val="22"/>
                <w:lang w:val="en-US" w:eastAsia="zh-CN"/>
              </w:rPr>
              <w:t>配备</w:t>
            </w:r>
            <w:bookmarkStart w:id="2" w:name="_GoBack"/>
            <w:bookmarkEnd w:id="2"/>
            <w:r>
              <w:rPr>
                <w:rFonts w:hint="default" w:ascii="Times New Roman" w:hAnsi="Times New Roman" w:eastAsia="等线" w:cs="Times New Roman"/>
                <w:sz w:val="22"/>
                <w:szCs w:val="22"/>
              </w:rPr>
              <w:t>充足、专职人员稳定、分工清晰，完全满足服务需求得4分；团队岗位基本齐全、人员配置合理，可满足常规服务需求得2分；团队岗位设置简单、人员储备不足，仅可满足基础服务需求得1分。</w:t>
            </w:r>
          </w:p>
        </w:tc>
      </w:tr>
      <w:tr w14:paraId="20D15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36DB3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一</w:t>
            </w:r>
          </w:p>
        </w:tc>
        <w:tc>
          <w:tcPr>
            <w:tcW w:w="123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69B2B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技术部分</w:t>
            </w:r>
          </w:p>
        </w:tc>
        <w:tc>
          <w:tcPr>
            <w:tcW w:w="1507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1E483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highlight w:val="none"/>
                <w:lang w:val="en-US" w:eastAsia="zh-CN" w:bidi="ar"/>
              </w:rPr>
              <w:t>同类业务业绩</w:t>
            </w:r>
          </w:p>
        </w:tc>
        <w:tc>
          <w:tcPr>
            <w:tcW w:w="106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44E48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24</w:t>
            </w:r>
          </w:p>
        </w:tc>
        <w:tc>
          <w:tcPr>
            <w:tcW w:w="378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8585B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近三年党政机关或事业单位、国有企业同类中介服务业绩证明（提供合同首页和盖章页）</w:t>
            </w:r>
          </w:p>
        </w:tc>
        <w:tc>
          <w:tcPr>
            <w:tcW w:w="583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AC1999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党政机关、事业单位、国有企业同类项目，每个项目得4分，累计最高得24分。</w:t>
            </w:r>
          </w:p>
        </w:tc>
      </w:tr>
      <w:tr w14:paraId="42177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D60A12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一</w:t>
            </w:r>
          </w:p>
        </w:tc>
        <w:tc>
          <w:tcPr>
            <w:tcW w:w="123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21BD8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技术部分</w:t>
            </w:r>
          </w:p>
        </w:tc>
        <w:tc>
          <w:tcPr>
            <w:tcW w:w="1507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DEDD5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质量控制、保密体系</w:t>
            </w:r>
          </w:p>
        </w:tc>
        <w:tc>
          <w:tcPr>
            <w:tcW w:w="106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7F65C3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14</w:t>
            </w:r>
          </w:p>
        </w:tc>
        <w:tc>
          <w:tcPr>
            <w:tcW w:w="378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B53FF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内部质量管理制度、业务复核制度、风险防控制度、保密管理制度等内控文件</w:t>
            </w:r>
          </w:p>
        </w:tc>
        <w:tc>
          <w:tcPr>
            <w:tcW w:w="583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C4DD66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11-14分：内控体系健全完整，复核、风险防控、保密管理完善，制度落地性强。</w:t>
            </w:r>
          </w:p>
          <w:p w14:paraId="69FDE88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7-10分：具备完善的质控、保密、风控相关制度，体系较为规范。</w:t>
            </w:r>
          </w:p>
          <w:p w14:paraId="6D17A8B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3-6分：仅有简单制度条款，管控机制不完善。</w:t>
            </w:r>
          </w:p>
          <w:p w14:paraId="6EC3984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0-2分：未提供任何内控管理体系材料。</w:t>
            </w:r>
          </w:p>
        </w:tc>
      </w:tr>
      <w:tr w14:paraId="5DA11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C4B5F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二</w:t>
            </w:r>
          </w:p>
        </w:tc>
        <w:tc>
          <w:tcPr>
            <w:tcW w:w="123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FE459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商务部分</w:t>
            </w:r>
          </w:p>
        </w:tc>
        <w:tc>
          <w:tcPr>
            <w:tcW w:w="1507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79C88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框架报价合理性</w:t>
            </w:r>
          </w:p>
        </w:tc>
        <w:tc>
          <w:tcPr>
            <w:tcW w:w="106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C8957D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8</w:t>
            </w:r>
          </w:p>
        </w:tc>
        <w:tc>
          <w:tcPr>
            <w:tcW w:w="378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0D63B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通用框架报价清单、计费标准、计价依据、价格说明（为参考价，非具体项目报价）</w:t>
            </w:r>
          </w:p>
        </w:tc>
        <w:tc>
          <w:tcPr>
            <w:tcW w:w="583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7FC398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7-8分：报价体系规范、计费依据充分，价格公允合理，贴合市场行情，无不合理收费。</w:t>
            </w:r>
          </w:p>
          <w:p w14:paraId="14047FF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5-6分：报价完整、计费清晰，基本符合市场行情。</w:t>
            </w:r>
          </w:p>
          <w:p w14:paraId="018C830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2-4分：报价要素不全、计费依据不充分。</w:t>
            </w:r>
          </w:p>
          <w:p w14:paraId="254FB74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0-1分：报价缺项漏项、无计价依据或严重偏离市场价格。</w:t>
            </w:r>
          </w:p>
        </w:tc>
      </w:tr>
      <w:tr w14:paraId="7EB7F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ED768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二</w:t>
            </w:r>
          </w:p>
        </w:tc>
        <w:tc>
          <w:tcPr>
            <w:tcW w:w="123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EDDC25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商务部分</w:t>
            </w:r>
          </w:p>
        </w:tc>
        <w:tc>
          <w:tcPr>
            <w:tcW w:w="1507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2ACD8E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通用服务承诺及保障措施</w:t>
            </w:r>
          </w:p>
        </w:tc>
        <w:tc>
          <w:tcPr>
            <w:tcW w:w="106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85E3E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7</w:t>
            </w:r>
          </w:p>
        </w:tc>
        <w:tc>
          <w:tcPr>
            <w:tcW w:w="378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DCB49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候选名单内常态化服务承诺书，包含服务响应时效、人员稳定保障、应急替补、质量追责、投诉处理、后续服务保障等内容</w:t>
            </w:r>
          </w:p>
        </w:tc>
        <w:tc>
          <w:tcPr>
            <w:tcW w:w="583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5CC59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6-7分：服务承诺全面细致，响应机制、替补机制、质保机制、售后机制完善，贴合候选名单常态化管理要求。</w:t>
            </w:r>
          </w:p>
          <w:p w14:paraId="6C5B1AC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4-5分：服务承诺规范，具备基本服务保障条款。1-3分：仅通用模板内容，无针对性服务保障。</w:t>
            </w:r>
          </w:p>
          <w:p w14:paraId="09580AB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kern w:val="0"/>
                <w:sz w:val="22"/>
                <w:szCs w:val="22"/>
                <w:lang w:val="en-US" w:eastAsia="zh-CN" w:bidi="ar"/>
              </w:rPr>
              <w:t>0分：未提供服务承诺材料。</w:t>
            </w:r>
          </w:p>
        </w:tc>
      </w:tr>
      <w:tr w14:paraId="4B76D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08C4A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kern w:val="0"/>
                <w:sz w:val="22"/>
                <w:szCs w:val="22"/>
                <w:lang w:val="en-US" w:eastAsia="zh-CN" w:bidi="ar"/>
              </w:rPr>
              <w:t>合计</w:t>
            </w:r>
          </w:p>
        </w:tc>
        <w:tc>
          <w:tcPr>
            <w:tcW w:w="1230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9CB09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kern w:val="0"/>
                <w:sz w:val="22"/>
                <w:szCs w:val="22"/>
                <w:lang w:val="en-US" w:eastAsia="zh-CN" w:bidi="ar"/>
              </w:rPr>
              <w:t>—</w:t>
            </w:r>
          </w:p>
        </w:tc>
        <w:tc>
          <w:tcPr>
            <w:tcW w:w="1507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51932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kern w:val="0"/>
                <w:sz w:val="22"/>
                <w:szCs w:val="22"/>
                <w:lang w:val="en-US" w:eastAsia="zh-CN" w:bidi="ar"/>
              </w:rPr>
              <w:t>总分</w:t>
            </w:r>
          </w:p>
        </w:tc>
        <w:tc>
          <w:tcPr>
            <w:tcW w:w="106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19C94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等线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kern w:val="0"/>
                <w:sz w:val="22"/>
                <w:szCs w:val="22"/>
                <w:lang w:val="en-US" w:eastAsia="zh-CN" w:bidi="ar"/>
              </w:rPr>
              <w:t>100</w:t>
            </w:r>
          </w:p>
        </w:tc>
        <w:tc>
          <w:tcPr>
            <w:tcW w:w="378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BB9E5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kern w:val="0"/>
                <w:sz w:val="22"/>
                <w:szCs w:val="22"/>
                <w:lang w:val="en-US" w:eastAsia="zh-CN" w:bidi="ar"/>
              </w:rPr>
              <w:t>——</w:t>
            </w:r>
          </w:p>
        </w:tc>
        <w:tc>
          <w:tcPr>
            <w:tcW w:w="583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D896B2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等线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eastAsia="等线" w:cs="Times New Roman"/>
                <w:b/>
                <w:bCs/>
                <w:kern w:val="0"/>
                <w:sz w:val="22"/>
                <w:szCs w:val="22"/>
                <w:lang w:val="en-US" w:eastAsia="zh-CN" w:bidi="ar"/>
              </w:rPr>
              <w:t>——</w:t>
            </w:r>
          </w:p>
        </w:tc>
      </w:tr>
    </w:tbl>
    <w:p w14:paraId="1E7237E1">
      <w:pPr>
        <w:numPr>
          <w:ilvl w:val="0"/>
          <w:numId w:val="0"/>
        </w:numPr>
        <w:spacing w:before="320" w:after="120" w:line="288" w:lineRule="auto"/>
        <w:jc w:val="left"/>
        <w:outlineLvl w:val="1"/>
        <w:rPr>
          <w:rFonts w:ascii="Arial" w:hAnsi="Arial" w:eastAsia="等线" w:cs="Arial"/>
          <w:b/>
          <w:sz w:val="32"/>
        </w:rPr>
      </w:pPr>
    </w:p>
    <w:sectPr>
      <w:headerReference r:id="rId3" w:type="default"/>
      <w:footerReference r:id="rId4" w:type="default"/>
      <w:pgSz w:w="16840" w:h="11905" w:orient="landscape"/>
      <w:pgMar w:top="1800" w:right="1440" w:bottom="1800" w:left="14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6ACEA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BE563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E32F37"/>
    <w:multiLevelType w:val="singleLevel"/>
    <w:tmpl w:val="4CE32F3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625D"/>
    <w:rsid w:val="3BBC7200"/>
    <w:rsid w:val="46083C5F"/>
    <w:rsid w:val="4A8536D2"/>
    <w:rsid w:val="4FC214AE"/>
    <w:rsid w:val="6C206B1C"/>
    <w:rsid w:val="6EB00B65"/>
    <w:rsid w:val="755C3314"/>
    <w:rsid w:val="756B7573"/>
    <w:rsid w:val="760C57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1573</Words>
  <Characters>1649</Characters>
  <TotalTime>20</TotalTime>
  <ScaleCrop>false</ScaleCrop>
  <LinksUpToDate>false</LinksUpToDate>
  <CharactersWithSpaces>1664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2026-09-04T07:49:00Z</dcterms:created>
  <dc:creator>Apache POI</dc:creator>
  <cp:lastModifiedBy>若风丷</cp:lastModifiedBy>
  <dcterms:modified xsi:type="dcterms:W3CDTF">2026-09-10T01:52:56Z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{"Label":"1","ContentProducer":"001191110102MACQD9K64010000","ProduceID":"7681584002742227155","ReservedCode1":"","ContentPropagator":"","PropagateID":"","ReservedCode2":""}</vt:lpwstr>
  </property>
  <property fmtid="{D5CDD505-2E9C-101B-9397-08002B2CF9AE}" pid="3" name="KSOTemplateDocerSaveRecord">
    <vt:lpwstr>eyJoZGlkIjoiNmEwN2FjN2ZiMTY5YjkwMDY3ZTA1OTcwMzcyYzBhNmQiLCJ1c2VySWQiOiI2NTQ5NTE3NTIifQ==</vt:lpwstr>
  </property>
  <property fmtid="{D5CDD505-2E9C-101B-9397-08002B2CF9AE}" pid="4" name="KSOProductBuildVer">
    <vt:lpwstr>2052-12.1.0.28505</vt:lpwstr>
  </property>
  <property fmtid="{D5CDD505-2E9C-101B-9397-08002B2CF9AE}" pid="5" name="ICV">
    <vt:lpwstr>6219DBDD886B482EA527CCD9DB7A37BD_13</vt:lpwstr>
  </property>
</Properties>
</file>